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1440" w:firstLine="720"/>
        <w:contextualSpacing w:val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Silver Lake Youth Basketball (SLYB)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Travel Basketball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Coach Selection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Effective September 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Head Coach Selection Process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All volunteers interested in coaching a SLYB team must register to coach under the volunteer section of </w:t>
      </w: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www.silverlakeyouthbasketball.org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Coaches are required to attend any Coaches nights or clinics sponsored by SLYB.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Coaching candidates must satisfactorily pass a background check to include a CORI (Criminal Offender Record Information) examination.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Coaches must sign and agree to uphold the conditions outlined in the SLYB Coaches Code of Conduct.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Approved coaching candidates should attend tryout nights for their respective age groups but are not permitted to be an independent evaluator.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Coach candidates staff tryouts and coordinate on-court activities.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In situations where all head coaching candidates are parents/relatives of youth’s trying out for travel teams – special consideration will be given to the head coach whose child has made a respective travel team through the SLYB Tryout and Team Selection Process.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In instances where more than one head coach candidate meets the aforementioned criteria, the SLYB Board will select a head coach.  First right of refusal will be given to the second coach to assist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In instances where no head coaching candidate meets the aforementioned criteria, the SLYB Board will select a head coach at their discretion taking experience and SLYB Tryout and Team Selection Process results into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Head coach will be chosen where possible before final tryout night &amp; prior to final team selection.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Head coach is involved with the final player selection of their team in conjunction with assigned SLYB BoD member(s).  However – the following conditions apply: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800" w:hanging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+/-75%</w:t>
      </w:r>
      <w:r w:rsidDel="00000000" w:rsidR="00000000" w:rsidRPr="00000000">
        <w:rPr>
          <w:rtl w:val="0"/>
        </w:rPr>
        <w:t xml:space="preserve"> of roster spots are expected to be selected per final evaluations as described in SLYB Tryout &amp; Team Selection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800" w:hanging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Final roster spot(s) will be chosen by Head Coach subject to standards outlined by SLYB BoD and SLYB Tryout &amp; Team Selection Process.  All final selections are reviewed by SLYB.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Head coach selects an assistant coach (team manager/2nd assistant optional) absent special circumstances that require the SLYB Board to name assistants.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All coaches are subject to SLYB Board approval.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SLYB reserves the right to bring any coach selection matters before the SLYB board to make a final decision by a closed session vote.  Coach candidates may be required to interview.  Interviews and vote should take place within 48 hours of final tryout &amp; before team selection.     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ilverlakeyouthbasketball.org" TargetMode="External"/></Relationships>
</file>